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3C5" w:rsidRPr="00C92F6F" w:rsidRDefault="000863C5" w:rsidP="000863C5">
      <w:pPr>
        <w:pStyle w:val="Default"/>
        <w:rPr>
          <w:szCs w:val="23"/>
          <w:lang w:val="en-US"/>
        </w:rPr>
      </w:pPr>
      <w:proofErr w:type="spellStart"/>
      <w:r>
        <w:rPr>
          <w:b/>
          <w:szCs w:val="23"/>
          <w:lang w:val="en-US"/>
        </w:rPr>
        <w:t>Bardet-Biedl</w:t>
      </w:r>
      <w:proofErr w:type="spellEnd"/>
      <w:r>
        <w:rPr>
          <w:b/>
          <w:szCs w:val="23"/>
          <w:lang w:val="en-US"/>
        </w:rPr>
        <w:t xml:space="preserve"> Syndrome</w:t>
      </w:r>
      <w:r>
        <w:rPr>
          <w:szCs w:val="23"/>
          <w:lang w:val="en-US"/>
        </w:rPr>
        <w:tab/>
      </w:r>
      <w:r>
        <w:rPr>
          <w:szCs w:val="23"/>
          <w:lang w:val="en-US"/>
        </w:rPr>
        <w:tab/>
      </w:r>
    </w:p>
    <w:p w:rsidR="000863C5" w:rsidRPr="00042943" w:rsidRDefault="000863C5" w:rsidP="000863C5">
      <w:pPr>
        <w:pStyle w:val="Default"/>
        <w:rPr>
          <w:b/>
          <w:szCs w:val="23"/>
          <w:lang w:val="en-US"/>
        </w:rPr>
      </w:pPr>
    </w:p>
    <w:p w:rsidR="000863C5" w:rsidRPr="00042943" w:rsidRDefault="000863C5" w:rsidP="000863C5">
      <w:pPr>
        <w:pStyle w:val="Default"/>
        <w:rPr>
          <w:b/>
          <w:szCs w:val="23"/>
          <w:lang w:val="en-US"/>
        </w:rPr>
      </w:pPr>
    </w:p>
    <w:p w:rsidR="000863C5" w:rsidRPr="00042943" w:rsidRDefault="000863C5" w:rsidP="000863C5">
      <w:pPr>
        <w:pStyle w:val="Default"/>
        <w:rPr>
          <w:b/>
          <w:szCs w:val="23"/>
          <w:lang w:val="en-US"/>
        </w:rPr>
      </w:pPr>
    </w:p>
    <w:p w:rsidR="000863C5" w:rsidRPr="00042943" w:rsidRDefault="000863C5" w:rsidP="000863C5">
      <w:pPr>
        <w:pStyle w:val="Default"/>
        <w:rPr>
          <w:b/>
          <w:szCs w:val="23"/>
          <w:lang w:val="en-US"/>
        </w:rPr>
      </w:pPr>
    </w:p>
    <w:p w:rsidR="000863C5" w:rsidRDefault="000863C5" w:rsidP="000863C5">
      <w:pPr>
        <w:pStyle w:val="Default"/>
        <w:jc w:val="right"/>
        <w:rPr>
          <w:b/>
          <w:szCs w:val="23"/>
          <w:lang w:val="en-US"/>
        </w:rPr>
      </w:pPr>
      <w:r w:rsidRPr="00641308">
        <w:rPr>
          <w:b/>
          <w:szCs w:val="23"/>
          <w:lang w:val="en-US"/>
        </w:rPr>
        <w:lastRenderedPageBreak/>
        <w:t xml:space="preserve">Prof. Dr. Hélène </w:t>
      </w:r>
      <w:proofErr w:type="spellStart"/>
      <w:r w:rsidRPr="00641308">
        <w:rPr>
          <w:b/>
          <w:szCs w:val="23"/>
          <w:lang w:val="en-US"/>
        </w:rPr>
        <w:t>Dollfus</w:t>
      </w:r>
      <w:proofErr w:type="spellEnd"/>
    </w:p>
    <w:p w:rsidR="000863C5" w:rsidRDefault="000863C5" w:rsidP="000863C5">
      <w:pPr>
        <w:pStyle w:val="Default"/>
        <w:jc w:val="right"/>
        <w:rPr>
          <w:szCs w:val="23"/>
          <w:lang w:val="en-US"/>
        </w:rPr>
      </w:pPr>
      <w:proofErr w:type="spellStart"/>
      <w:r w:rsidRPr="00641308">
        <w:rPr>
          <w:szCs w:val="23"/>
          <w:lang w:val="en-US"/>
        </w:rPr>
        <w:t>Inserm</w:t>
      </w:r>
      <w:proofErr w:type="spellEnd"/>
      <w:r w:rsidRPr="00641308">
        <w:rPr>
          <w:szCs w:val="23"/>
          <w:lang w:val="en-US"/>
        </w:rPr>
        <w:t>-University of Strasbourg</w:t>
      </w:r>
    </w:p>
    <w:p w:rsidR="000863C5" w:rsidRDefault="000863C5" w:rsidP="000863C5">
      <w:pPr>
        <w:pStyle w:val="Default"/>
        <w:jc w:val="right"/>
        <w:rPr>
          <w:szCs w:val="23"/>
          <w:lang w:val="en-US"/>
        </w:rPr>
      </w:pPr>
      <w:r w:rsidRPr="00641308">
        <w:rPr>
          <w:szCs w:val="23"/>
          <w:lang w:val="en-US"/>
        </w:rPr>
        <w:t>Faculty of Medicine</w:t>
      </w:r>
    </w:p>
    <w:p w:rsidR="000863C5" w:rsidRPr="000863C5" w:rsidRDefault="000863C5" w:rsidP="000863C5">
      <w:pPr>
        <w:pStyle w:val="Default"/>
        <w:jc w:val="right"/>
        <w:rPr>
          <w:b/>
          <w:szCs w:val="23"/>
          <w:lang w:val="en-US"/>
        </w:rPr>
      </w:pPr>
      <w:r w:rsidRPr="00641308">
        <w:rPr>
          <w:szCs w:val="23"/>
          <w:lang w:val="en-US"/>
        </w:rPr>
        <w:t>Strasbourg, France</w:t>
      </w:r>
    </w:p>
    <w:p w:rsidR="000863C5" w:rsidRPr="000863C5" w:rsidRDefault="000863C5" w:rsidP="000863C5">
      <w:pPr>
        <w:pStyle w:val="Default"/>
        <w:rPr>
          <w:b/>
          <w:szCs w:val="23"/>
          <w:lang w:val="en-US"/>
        </w:rPr>
      </w:pPr>
    </w:p>
    <w:p w:rsidR="000863C5" w:rsidRPr="000863C5" w:rsidRDefault="000863C5" w:rsidP="000863C5">
      <w:pPr>
        <w:pStyle w:val="Default"/>
        <w:rPr>
          <w:b/>
          <w:szCs w:val="23"/>
          <w:lang w:val="en-US"/>
        </w:rPr>
        <w:sectPr w:rsidR="000863C5" w:rsidRPr="000863C5" w:rsidSect="00C92F6F">
          <w:pgSz w:w="11907" w:h="16840" w:code="9"/>
          <w:pgMar w:top="1134" w:right="1134" w:bottom="1134" w:left="1134" w:header="709" w:footer="709" w:gutter="0"/>
          <w:cols w:num="2" w:space="708"/>
          <w:docGrid w:linePitch="360"/>
        </w:sectPr>
      </w:pPr>
    </w:p>
    <w:p w:rsidR="000863C5" w:rsidRPr="000863C5" w:rsidRDefault="000863C5" w:rsidP="000863C5">
      <w:pPr>
        <w:pStyle w:val="Default"/>
        <w:rPr>
          <w:b/>
          <w:szCs w:val="23"/>
          <w:lang w:val="en-US"/>
        </w:rPr>
      </w:pPr>
    </w:p>
    <w:p w:rsidR="000863C5" w:rsidRPr="000863C5" w:rsidRDefault="000863C5" w:rsidP="000863C5">
      <w:pPr>
        <w:pStyle w:val="Default"/>
        <w:rPr>
          <w:b/>
          <w:szCs w:val="23"/>
          <w:lang w:val="en-US"/>
        </w:rPr>
      </w:pPr>
    </w:p>
    <w:p w:rsidR="000863C5" w:rsidRPr="000863C5" w:rsidRDefault="000863C5" w:rsidP="000863C5">
      <w:pPr>
        <w:pStyle w:val="Default"/>
        <w:rPr>
          <w:b/>
          <w:szCs w:val="23"/>
          <w:lang w:val="en-US"/>
        </w:rPr>
      </w:pPr>
    </w:p>
    <w:p w:rsidR="000863C5" w:rsidRPr="000863C5" w:rsidRDefault="000863C5" w:rsidP="000863C5">
      <w:pPr>
        <w:rPr>
          <w:rFonts w:ascii="Arial" w:hAnsi="Arial" w:cs="Arial"/>
          <w:sz w:val="24"/>
          <w:szCs w:val="23"/>
          <w:lang w:val="en-US"/>
        </w:rPr>
      </w:pPr>
      <w:r w:rsidRPr="000863C5">
        <w:rPr>
          <w:rFonts w:ascii="Arial" w:hAnsi="Arial" w:cs="Arial"/>
          <w:sz w:val="24"/>
          <w:szCs w:val="23"/>
          <w:lang w:val="en-US"/>
        </w:rPr>
        <w:t xml:space="preserve">A single non motile cilium (also called primary cilium) is present in almost every vertebrate cell. The primary cilium is recognized as the central antenna of the cell allowing the effective transduction </w:t>
      </w:r>
      <w:proofErr w:type="gramStart"/>
      <w:r w:rsidRPr="000863C5">
        <w:rPr>
          <w:rFonts w:ascii="Arial" w:hAnsi="Arial" w:cs="Arial"/>
          <w:sz w:val="24"/>
          <w:szCs w:val="23"/>
          <w:lang w:val="en-US"/>
        </w:rPr>
        <w:t>of various sensorial information from the extracellular environment to the cell</w:t>
      </w:r>
      <w:proofErr w:type="gramEnd"/>
      <w:r w:rsidRPr="000863C5">
        <w:rPr>
          <w:rFonts w:ascii="Arial" w:hAnsi="Arial" w:cs="Arial"/>
          <w:sz w:val="24"/>
          <w:szCs w:val="23"/>
          <w:lang w:val="en-US"/>
        </w:rPr>
        <w:t xml:space="preserve">. The photoreceptor cell has a connecting cilium and is therefore a modified ciliated cell. </w:t>
      </w:r>
    </w:p>
    <w:p w:rsidR="000863C5" w:rsidRPr="000863C5" w:rsidRDefault="000863C5" w:rsidP="000863C5">
      <w:pPr>
        <w:rPr>
          <w:rFonts w:ascii="Arial" w:hAnsi="Arial" w:cs="Arial"/>
          <w:sz w:val="24"/>
          <w:szCs w:val="23"/>
          <w:lang w:val="en-US"/>
        </w:rPr>
      </w:pPr>
      <w:proofErr w:type="spellStart"/>
      <w:r w:rsidRPr="000863C5">
        <w:rPr>
          <w:rFonts w:ascii="Arial" w:hAnsi="Arial" w:cs="Arial"/>
          <w:sz w:val="24"/>
          <w:szCs w:val="23"/>
          <w:lang w:val="en-US"/>
        </w:rPr>
        <w:t>Ciliopathies</w:t>
      </w:r>
      <w:proofErr w:type="spellEnd"/>
      <w:r w:rsidRPr="000863C5">
        <w:rPr>
          <w:rFonts w:ascii="Arial" w:hAnsi="Arial" w:cs="Arial"/>
          <w:sz w:val="24"/>
          <w:szCs w:val="23"/>
          <w:lang w:val="en-US"/>
        </w:rPr>
        <w:t xml:space="preserve"> are a recently defined group of rare genetic disorders characterized by primary cilium dysfunction frequently affecting photoreceptors and causing retinal degeneration either as an isolated condition (</w:t>
      </w:r>
      <w:proofErr w:type="spellStart"/>
      <w:r w:rsidRPr="000863C5">
        <w:rPr>
          <w:rFonts w:ascii="Arial" w:hAnsi="Arial" w:cs="Arial"/>
          <w:sz w:val="24"/>
          <w:szCs w:val="23"/>
          <w:lang w:val="en-US"/>
        </w:rPr>
        <w:t>e.g</w:t>
      </w:r>
      <w:proofErr w:type="spellEnd"/>
      <w:r w:rsidRPr="000863C5">
        <w:rPr>
          <w:rFonts w:ascii="Arial" w:hAnsi="Arial" w:cs="Arial"/>
          <w:sz w:val="24"/>
          <w:szCs w:val="23"/>
          <w:lang w:val="en-US"/>
        </w:rPr>
        <w:t xml:space="preserve">: a subset of </w:t>
      </w:r>
      <w:proofErr w:type="spellStart"/>
      <w:r w:rsidRPr="000863C5">
        <w:rPr>
          <w:rFonts w:ascii="Arial" w:hAnsi="Arial" w:cs="Arial"/>
          <w:sz w:val="24"/>
          <w:szCs w:val="23"/>
          <w:lang w:val="en-US"/>
        </w:rPr>
        <w:t>Leber’s</w:t>
      </w:r>
      <w:proofErr w:type="spellEnd"/>
      <w:r w:rsidRPr="000863C5">
        <w:rPr>
          <w:rFonts w:ascii="Arial" w:hAnsi="Arial" w:cs="Arial"/>
          <w:sz w:val="24"/>
          <w:szCs w:val="23"/>
          <w:lang w:val="en-US"/>
        </w:rPr>
        <w:t xml:space="preserve"> Congenital </w:t>
      </w:r>
      <w:proofErr w:type="spellStart"/>
      <w:r w:rsidRPr="000863C5">
        <w:rPr>
          <w:rFonts w:ascii="Arial" w:hAnsi="Arial" w:cs="Arial"/>
          <w:sz w:val="24"/>
          <w:szCs w:val="23"/>
          <w:lang w:val="en-US"/>
        </w:rPr>
        <w:t>Amaurosis</w:t>
      </w:r>
      <w:proofErr w:type="spellEnd"/>
      <w:r w:rsidRPr="000863C5">
        <w:rPr>
          <w:rFonts w:ascii="Arial" w:hAnsi="Arial" w:cs="Arial"/>
          <w:sz w:val="24"/>
          <w:szCs w:val="23"/>
          <w:lang w:val="en-US"/>
        </w:rPr>
        <w:t xml:space="preserve"> patients with CEP290 mutations) or as a </w:t>
      </w:r>
      <w:proofErr w:type="spellStart"/>
      <w:r w:rsidRPr="000863C5">
        <w:rPr>
          <w:rFonts w:ascii="Arial" w:hAnsi="Arial" w:cs="Arial"/>
          <w:sz w:val="24"/>
          <w:szCs w:val="23"/>
          <w:lang w:val="en-US"/>
        </w:rPr>
        <w:t>ciliopathy</w:t>
      </w:r>
      <w:proofErr w:type="spellEnd"/>
      <w:r w:rsidRPr="000863C5">
        <w:rPr>
          <w:rFonts w:ascii="Arial" w:hAnsi="Arial" w:cs="Arial"/>
          <w:sz w:val="24"/>
          <w:szCs w:val="23"/>
          <w:lang w:val="en-US"/>
        </w:rPr>
        <w:t xml:space="preserve"> </w:t>
      </w:r>
      <w:proofErr w:type="spellStart"/>
      <w:r w:rsidRPr="000863C5">
        <w:rPr>
          <w:rFonts w:ascii="Arial" w:hAnsi="Arial" w:cs="Arial"/>
          <w:sz w:val="24"/>
          <w:szCs w:val="23"/>
          <w:lang w:val="en-US"/>
        </w:rPr>
        <w:t>syndromic</w:t>
      </w:r>
      <w:proofErr w:type="spellEnd"/>
      <w:r w:rsidRPr="000863C5">
        <w:rPr>
          <w:rFonts w:ascii="Arial" w:hAnsi="Arial" w:cs="Arial"/>
          <w:sz w:val="24"/>
          <w:szCs w:val="23"/>
          <w:lang w:val="en-US"/>
        </w:rPr>
        <w:t xml:space="preserve"> </w:t>
      </w:r>
      <w:proofErr w:type="gramStart"/>
      <w:r w:rsidRPr="000863C5">
        <w:rPr>
          <w:rFonts w:ascii="Arial" w:hAnsi="Arial" w:cs="Arial"/>
          <w:sz w:val="24"/>
          <w:szCs w:val="23"/>
          <w:lang w:val="en-US"/>
        </w:rPr>
        <w:t>disease .</w:t>
      </w:r>
      <w:proofErr w:type="gramEnd"/>
      <w:r w:rsidRPr="000863C5">
        <w:rPr>
          <w:rFonts w:ascii="Arial" w:hAnsi="Arial" w:cs="Arial"/>
          <w:sz w:val="24"/>
          <w:szCs w:val="23"/>
          <w:lang w:val="en-US"/>
        </w:rPr>
        <w:t xml:space="preserve"> Recently, overlapping phenotypes have been reported as well as high clinical variability on the number of affected organs among patients with the same syndrome as well as for the severity of the symptoms.</w:t>
      </w:r>
      <w:bookmarkStart w:id="0" w:name="_GoBack"/>
      <w:bookmarkEnd w:id="0"/>
    </w:p>
    <w:p w:rsidR="000863C5" w:rsidRPr="000863C5" w:rsidRDefault="000863C5" w:rsidP="000863C5">
      <w:pPr>
        <w:rPr>
          <w:rFonts w:ascii="Arial" w:hAnsi="Arial" w:cs="Arial"/>
          <w:sz w:val="24"/>
          <w:szCs w:val="23"/>
          <w:lang w:val="en-US"/>
        </w:rPr>
      </w:pPr>
      <w:r w:rsidRPr="000863C5">
        <w:rPr>
          <w:rFonts w:ascii="Arial" w:hAnsi="Arial" w:cs="Arial"/>
          <w:sz w:val="24"/>
          <w:szCs w:val="23"/>
          <w:lang w:val="en-US"/>
        </w:rPr>
        <w:t xml:space="preserve"> The cardinal features of the </w:t>
      </w:r>
      <w:proofErr w:type="spellStart"/>
      <w:r w:rsidRPr="000863C5">
        <w:rPr>
          <w:rFonts w:ascii="Arial" w:hAnsi="Arial" w:cs="Arial"/>
          <w:sz w:val="24"/>
          <w:szCs w:val="23"/>
          <w:lang w:val="en-US"/>
        </w:rPr>
        <w:t>Bardet-Biedl</w:t>
      </w:r>
      <w:proofErr w:type="spellEnd"/>
      <w:r w:rsidRPr="000863C5">
        <w:rPr>
          <w:rFonts w:ascii="Arial" w:hAnsi="Arial" w:cs="Arial"/>
          <w:sz w:val="24"/>
          <w:szCs w:val="23"/>
          <w:lang w:val="en-US"/>
        </w:rPr>
        <w:t xml:space="preserve"> syndrome are: early onset retinal degeneration, obesity, </w:t>
      </w:r>
      <w:proofErr w:type="spellStart"/>
      <w:r w:rsidRPr="000863C5">
        <w:rPr>
          <w:rFonts w:ascii="Arial" w:hAnsi="Arial" w:cs="Arial"/>
          <w:sz w:val="24"/>
          <w:szCs w:val="23"/>
          <w:lang w:val="en-US"/>
        </w:rPr>
        <w:t>polydactyly</w:t>
      </w:r>
      <w:proofErr w:type="spellEnd"/>
      <w:r w:rsidRPr="000863C5">
        <w:rPr>
          <w:rFonts w:ascii="Arial" w:hAnsi="Arial" w:cs="Arial"/>
          <w:sz w:val="24"/>
          <w:szCs w:val="23"/>
          <w:lang w:val="en-US"/>
        </w:rPr>
        <w:t xml:space="preserve">, renal failure, </w:t>
      </w:r>
      <w:proofErr w:type="spellStart"/>
      <w:r w:rsidRPr="000863C5">
        <w:rPr>
          <w:rFonts w:ascii="Arial" w:hAnsi="Arial" w:cs="Arial"/>
          <w:sz w:val="24"/>
          <w:szCs w:val="23"/>
          <w:lang w:val="en-US"/>
        </w:rPr>
        <w:t>hypogonadism</w:t>
      </w:r>
      <w:proofErr w:type="spellEnd"/>
      <w:r w:rsidRPr="000863C5">
        <w:rPr>
          <w:rFonts w:ascii="Arial" w:hAnsi="Arial" w:cs="Arial"/>
          <w:sz w:val="24"/>
          <w:szCs w:val="23"/>
          <w:lang w:val="en-US"/>
        </w:rPr>
        <w:t xml:space="preserve"> and cognitive impairment. The clinical manifestations of BBS may include secondary features such as anosmia, diabetes, cardiac anomalies, hepatic fibrosis, </w:t>
      </w:r>
      <w:proofErr w:type="spellStart"/>
      <w:r w:rsidRPr="000863C5">
        <w:rPr>
          <w:rFonts w:ascii="Arial" w:hAnsi="Arial" w:cs="Arial"/>
          <w:sz w:val="24"/>
          <w:szCs w:val="23"/>
          <w:lang w:val="en-US"/>
        </w:rPr>
        <w:t>brachydactyly</w:t>
      </w:r>
      <w:proofErr w:type="spellEnd"/>
      <w:r w:rsidRPr="000863C5">
        <w:rPr>
          <w:rFonts w:ascii="Arial" w:hAnsi="Arial" w:cs="Arial"/>
          <w:sz w:val="24"/>
          <w:szCs w:val="23"/>
          <w:lang w:val="en-US"/>
        </w:rPr>
        <w:t xml:space="preserve">, </w:t>
      </w:r>
      <w:proofErr w:type="spellStart"/>
      <w:r w:rsidRPr="000863C5">
        <w:rPr>
          <w:rFonts w:ascii="Arial" w:hAnsi="Arial" w:cs="Arial"/>
          <w:sz w:val="24"/>
          <w:szCs w:val="23"/>
          <w:lang w:val="en-US"/>
        </w:rPr>
        <w:t>Hirschprung</w:t>
      </w:r>
      <w:proofErr w:type="spellEnd"/>
      <w:r w:rsidRPr="000863C5">
        <w:rPr>
          <w:rFonts w:ascii="Arial" w:hAnsi="Arial" w:cs="Arial"/>
          <w:sz w:val="24"/>
          <w:szCs w:val="23"/>
          <w:lang w:val="en-US"/>
        </w:rPr>
        <w:t xml:space="preserve"> disease. </w:t>
      </w:r>
    </w:p>
    <w:p w:rsidR="000863C5" w:rsidRPr="000863C5" w:rsidRDefault="000863C5" w:rsidP="000863C5">
      <w:pPr>
        <w:rPr>
          <w:rFonts w:ascii="Arial" w:hAnsi="Arial" w:cs="Arial"/>
          <w:sz w:val="24"/>
          <w:szCs w:val="23"/>
          <w:lang w:val="en-US"/>
        </w:rPr>
      </w:pPr>
      <w:r w:rsidRPr="000863C5">
        <w:rPr>
          <w:rFonts w:ascii="Arial" w:hAnsi="Arial" w:cs="Arial"/>
          <w:sz w:val="24"/>
          <w:szCs w:val="23"/>
          <w:lang w:val="en-US"/>
        </w:rPr>
        <w:t xml:space="preserve">The retinal dystrophy in BBS has an early onset leading to severe visual handicap before adulthood. Global retinal degeneration in which both rods and cones are affected is the most appropriate classification attesting the dual photoreceptor involvement. </w:t>
      </w:r>
      <w:r w:rsidRPr="000863C5">
        <w:rPr>
          <w:rFonts w:ascii="Arial" w:hAnsi="Arial" w:cs="Arial"/>
          <w:sz w:val="24"/>
          <w:szCs w:val="23"/>
          <w:lang w:val="en-US"/>
        </w:rPr>
        <w:cr/>
      </w:r>
    </w:p>
    <w:p w:rsidR="00526012" w:rsidRPr="000863C5" w:rsidRDefault="000863C5" w:rsidP="000863C5">
      <w:pPr>
        <w:rPr>
          <w:lang w:val="en-GB"/>
        </w:rPr>
      </w:pPr>
      <w:r w:rsidRPr="000863C5">
        <w:rPr>
          <w:rFonts w:ascii="Arial" w:hAnsi="Arial" w:cs="Arial"/>
          <w:sz w:val="24"/>
          <w:szCs w:val="23"/>
          <w:lang w:val="en-US"/>
        </w:rPr>
        <w:t xml:space="preserve">BBS is an autosomal recessive genetically heterogeneous condition with 17 genes identified to date accounting for about 85% of the disease cases. All the BBS genes have been related to cilium biogenesis and/or function. BBS1 and BBS10 are the two most common accounting each for about 20% of the cases. Implication of the other BBS genes ranges from a unique family to a few percent of mutated families. The genetic basis of BBS is autosomal recessive for genetic </w:t>
      </w:r>
      <w:proofErr w:type="spellStart"/>
      <w:r w:rsidRPr="000863C5">
        <w:rPr>
          <w:rFonts w:ascii="Arial" w:hAnsi="Arial" w:cs="Arial"/>
          <w:sz w:val="24"/>
          <w:szCs w:val="23"/>
          <w:lang w:val="en-US"/>
        </w:rPr>
        <w:t>counselling</w:t>
      </w:r>
      <w:proofErr w:type="spellEnd"/>
      <w:r w:rsidRPr="000863C5">
        <w:rPr>
          <w:rFonts w:ascii="Arial" w:hAnsi="Arial" w:cs="Arial"/>
          <w:sz w:val="24"/>
          <w:szCs w:val="23"/>
          <w:lang w:val="en-US"/>
        </w:rPr>
        <w:t xml:space="preserve">. However this classical inheritance model has been challenged by molecular and functional investigations with the </w:t>
      </w:r>
      <w:proofErr w:type="spellStart"/>
      <w:r w:rsidRPr="000863C5">
        <w:rPr>
          <w:rFonts w:ascii="Arial" w:hAnsi="Arial" w:cs="Arial"/>
          <w:sz w:val="24"/>
          <w:szCs w:val="23"/>
          <w:lang w:val="en-US"/>
        </w:rPr>
        <w:t>oligogenic</w:t>
      </w:r>
      <w:proofErr w:type="spellEnd"/>
      <w:r w:rsidRPr="000863C5">
        <w:rPr>
          <w:rFonts w:ascii="Arial" w:hAnsi="Arial" w:cs="Arial"/>
          <w:sz w:val="24"/>
          <w:szCs w:val="23"/>
          <w:lang w:val="en-US"/>
        </w:rPr>
        <w:t xml:space="preserve"> model and the effect of additional genetic modulators on the </w:t>
      </w:r>
      <w:proofErr w:type="gramStart"/>
      <w:r w:rsidRPr="000863C5">
        <w:rPr>
          <w:rFonts w:ascii="Arial" w:hAnsi="Arial" w:cs="Arial"/>
          <w:sz w:val="24"/>
          <w:szCs w:val="23"/>
          <w:lang w:val="en-US"/>
        </w:rPr>
        <w:t>phenotype .</w:t>
      </w:r>
      <w:proofErr w:type="gramEnd"/>
    </w:p>
    <w:sectPr w:rsidR="00526012" w:rsidRPr="000863C5"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3C5"/>
    <w:rsid w:val="000863C5"/>
    <w:rsid w:val="00526012"/>
    <w:rsid w:val="00633897"/>
    <w:rsid w:val="00642A9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863C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0863C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863C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0863C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315</Words>
  <Characters>1991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2302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2012-06-28T12:14:00Z</dcterms:created>
  <dcterms:modified xsi:type="dcterms:W3CDTF">2012-06-28T12:15:00Z</dcterms:modified>
</cp:coreProperties>
</file>